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5332"/>
        <w:gridCol w:w="2152"/>
      </w:tblGrid>
      <w:tr w:rsidR="004839A9" w:rsidTr="00F7132F">
        <w:tc>
          <w:tcPr>
            <w:tcW w:w="2651" w:type="dxa"/>
          </w:tcPr>
          <w:p w:rsidR="004839A9" w:rsidRDefault="006D78BB" w:rsidP="00B36713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0E20957" wp14:editId="3A8D1B2F">
                  <wp:extent cx="1955800" cy="850900"/>
                  <wp:effectExtent l="0" t="0" r="6350" b="6350"/>
                  <wp:docPr id="1" name="Picture 1" descr="Description: UClogo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UClogo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9A9" w:rsidRDefault="004839A9" w:rsidP="00B36713"/>
          <w:p w:rsidR="004839A9" w:rsidRDefault="004839A9" w:rsidP="00B36713"/>
          <w:p w:rsidR="004839A9" w:rsidRPr="006B43B4" w:rsidRDefault="004839A9" w:rsidP="00B36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43B4">
              <w:rPr>
                <w:rFonts w:ascii="Arial" w:hAnsi="Arial" w:cs="Arial"/>
                <w:b/>
                <w:sz w:val="20"/>
                <w:szCs w:val="20"/>
              </w:rPr>
              <w:t>Category:</w:t>
            </w:r>
          </w:p>
          <w:p w:rsidR="004839A9" w:rsidRPr="006B43B4" w:rsidRDefault="004839A9" w:rsidP="00B367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B4">
              <w:rPr>
                <w:rFonts w:ascii="Arial" w:hAnsi="Arial" w:cs="Arial"/>
                <w:sz w:val="20"/>
                <w:szCs w:val="20"/>
              </w:rPr>
              <w:t>C</w:t>
            </w:r>
            <w:r w:rsidR="00AC29B9">
              <w:rPr>
                <w:rFonts w:ascii="Arial" w:hAnsi="Arial" w:cs="Arial"/>
                <w:sz w:val="20"/>
                <w:szCs w:val="20"/>
              </w:rPr>
              <w:t>o</w:t>
            </w:r>
            <w:r w:rsidRPr="006B43B4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Pr="006B43B4">
              <w:rPr>
                <w:rFonts w:ascii="Arial" w:hAnsi="Arial" w:cs="Arial"/>
                <w:sz w:val="20"/>
                <w:szCs w:val="20"/>
              </w:rPr>
              <w:t>-</w:t>
            </w:r>
            <w:r w:rsidR="007C0E3A">
              <w:rPr>
                <w:rFonts w:ascii="Arial" w:hAnsi="Arial" w:cs="Arial"/>
                <w:sz w:val="20"/>
                <w:szCs w:val="20"/>
              </w:rPr>
              <w:t>Research</w:t>
            </w:r>
          </w:p>
          <w:p w:rsidR="004839A9" w:rsidRPr="006B43B4" w:rsidRDefault="004839A9" w:rsidP="00B36713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9A9" w:rsidRPr="006B43B4" w:rsidRDefault="00A301D8" w:rsidP="00B367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4839A9" w:rsidRPr="006B43B4">
              <w:rPr>
                <w:rFonts w:ascii="Arial" w:hAnsi="Arial" w:cs="Arial"/>
                <w:b/>
                <w:sz w:val="20"/>
                <w:szCs w:val="20"/>
              </w:rPr>
              <w:t>pplicable for:</w:t>
            </w:r>
          </w:p>
          <w:p w:rsidR="00063C3A" w:rsidRDefault="00063C3A" w:rsidP="00B36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faculty</w:t>
            </w:r>
          </w:p>
          <w:p w:rsidR="004839A9" w:rsidRDefault="00E85C35" w:rsidP="00B3671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43B4">
              <w:rPr>
                <w:rFonts w:ascii="Arial" w:hAnsi="Arial" w:cs="Arial"/>
                <w:sz w:val="20"/>
                <w:szCs w:val="20"/>
              </w:rPr>
              <w:t>C</w:t>
            </w:r>
            <w:r w:rsidR="00AC29B9">
              <w:rPr>
                <w:rFonts w:ascii="Arial" w:hAnsi="Arial" w:cs="Arial"/>
                <w:sz w:val="20"/>
                <w:szCs w:val="20"/>
              </w:rPr>
              <w:t>o</w:t>
            </w:r>
            <w:r w:rsidRPr="006B43B4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Pr="006B43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2E1">
              <w:rPr>
                <w:rFonts w:ascii="Arial" w:hAnsi="Arial" w:cs="Arial"/>
                <w:sz w:val="20"/>
                <w:szCs w:val="20"/>
              </w:rPr>
              <w:t>Departments</w:t>
            </w:r>
          </w:p>
          <w:p w:rsidR="00691A1A" w:rsidRDefault="00691A1A" w:rsidP="00B36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Graduate Education</w:t>
            </w:r>
          </w:p>
          <w:p w:rsidR="00691A1A" w:rsidRDefault="00691A1A" w:rsidP="00B36713">
            <w:r>
              <w:rPr>
                <w:rFonts w:ascii="Arial" w:hAnsi="Arial" w:cs="Arial"/>
                <w:sz w:val="20"/>
                <w:szCs w:val="20"/>
              </w:rPr>
              <w:t>All research generating units</w:t>
            </w:r>
          </w:p>
        </w:tc>
        <w:tc>
          <w:tcPr>
            <w:tcW w:w="6007" w:type="dxa"/>
          </w:tcPr>
          <w:p w:rsidR="004839A9" w:rsidRPr="006B43B4" w:rsidRDefault="004839A9" w:rsidP="00B36713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B43B4">
              <w:rPr>
                <w:rFonts w:ascii="Arial" w:hAnsi="Arial" w:cs="Arial"/>
                <w:b/>
                <w:sz w:val="36"/>
                <w:szCs w:val="36"/>
              </w:rPr>
              <w:t>COLLEGE OF MEDICINE</w:t>
            </w:r>
          </w:p>
          <w:p w:rsidR="004839A9" w:rsidRDefault="00D11615" w:rsidP="00B3671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Operating Procedure/Guideline</w:t>
            </w:r>
          </w:p>
          <w:p w:rsidR="00D11615" w:rsidRPr="006B43B4" w:rsidRDefault="00D11615" w:rsidP="00B36713">
            <w:pPr>
              <w:rPr>
                <w:rFonts w:ascii="Arial" w:hAnsi="Arial" w:cs="Arial"/>
              </w:rPr>
            </w:pPr>
          </w:p>
          <w:p w:rsidR="00AF31F0" w:rsidRPr="00AD3C2D" w:rsidRDefault="00AD3C2D" w:rsidP="00B36713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AD3C2D">
              <w:rPr>
                <w:rFonts w:ascii="Arial" w:hAnsi="Arial" w:cs="Arial"/>
                <w:b/>
                <w:sz w:val="36"/>
                <w:szCs w:val="36"/>
              </w:rPr>
              <w:t>Authors</w:t>
            </w:r>
            <w:r w:rsidR="00063C3A">
              <w:rPr>
                <w:rFonts w:ascii="Arial" w:hAnsi="Arial" w:cs="Arial"/>
                <w:b/>
                <w:sz w:val="36"/>
                <w:szCs w:val="36"/>
              </w:rPr>
              <w:t>hip Guidelines for S</w:t>
            </w:r>
            <w:r w:rsidRPr="00AD3C2D">
              <w:rPr>
                <w:rFonts w:ascii="Arial" w:hAnsi="Arial" w:cs="Arial"/>
                <w:b/>
                <w:sz w:val="36"/>
                <w:szCs w:val="36"/>
              </w:rPr>
              <w:t xml:space="preserve">cientific </w:t>
            </w:r>
            <w:r w:rsidR="00063C3A">
              <w:rPr>
                <w:rFonts w:ascii="Arial" w:hAnsi="Arial" w:cs="Arial"/>
                <w:b/>
                <w:sz w:val="36"/>
                <w:szCs w:val="36"/>
              </w:rPr>
              <w:t>and Scholarly P</w:t>
            </w:r>
            <w:r w:rsidRPr="00AD3C2D">
              <w:rPr>
                <w:rFonts w:ascii="Arial" w:hAnsi="Arial" w:cs="Arial"/>
                <w:b/>
                <w:sz w:val="36"/>
                <w:szCs w:val="36"/>
              </w:rPr>
              <w:t>ublicat</w:t>
            </w:r>
            <w:r>
              <w:rPr>
                <w:rFonts w:ascii="Arial" w:hAnsi="Arial" w:cs="Arial"/>
                <w:b/>
                <w:sz w:val="36"/>
                <w:szCs w:val="36"/>
              </w:rPr>
              <w:t>i</w:t>
            </w:r>
            <w:r w:rsidRPr="00AD3C2D">
              <w:rPr>
                <w:rFonts w:ascii="Arial" w:hAnsi="Arial" w:cs="Arial"/>
                <w:b/>
                <w:sz w:val="36"/>
                <w:szCs w:val="36"/>
              </w:rPr>
              <w:t>on</w:t>
            </w:r>
            <w:r>
              <w:rPr>
                <w:rFonts w:ascii="Arial" w:hAnsi="Arial" w:cs="Arial"/>
                <w:b/>
                <w:sz w:val="36"/>
                <w:szCs w:val="36"/>
              </w:rPr>
              <w:t>s</w:t>
            </w:r>
          </w:p>
          <w:p w:rsidR="00AD3C2D" w:rsidRDefault="00AD3C2D" w:rsidP="00B367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39A9" w:rsidRPr="006B43B4" w:rsidRDefault="004839A9" w:rsidP="00B36713">
            <w:pPr>
              <w:rPr>
                <w:rFonts w:ascii="Arial" w:hAnsi="Arial" w:cs="Arial"/>
                <w:sz w:val="20"/>
                <w:szCs w:val="20"/>
              </w:rPr>
            </w:pPr>
            <w:r w:rsidRPr="006B43B4">
              <w:rPr>
                <w:rFonts w:ascii="Arial" w:hAnsi="Arial" w:cs="Arial"/>
                <w:b/>
                <w:sz w:val="20"/>
                <w:szCs w:val="20"/>
              </w:rPr>
              <w:t>Effective Date:</w:t>
            </w:r>
          </w:p>
          <w:p w:rsidR="004839A9" w:rsidRDefault="00C84846" w:rsidP="00B36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03/05/2018</w:t>
            </w:r>
          </w:p>
          <w:p w:rsidR="007B524F" w:rsidRPr="006B43B4" w:rsidRDefault="007B524F" w:rsidP="00B36713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9A9" w:rsidRPr="006B43B4" w:rsidRDefault="004839A9" w:rsidP="00B36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43B4">
              <w:rPr>
                <w:rFonts w:ascii="Arial" w:hAnsi="Arial" w:cs="Arial"/>
                <w:b/>
                <w:sz w:val="20"/>
                <w:szCs w:val="20"/>
              </w:rPr>
              <w:t>Prior Effective Date:</w:t>
            </w:r>
          </w:p>
          <w:p w:rsidR="004839A9" w:rsidRPr="006B43B4" w:rsidRDefault="003D7466" w:rsidP="00B36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4839A9" w:rsidRPr="006B43B4" w:rsidRDefault="004839A9" w:rsidP="00B36713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4839A9" w:rsidRPr="006E7616" w:rsidRDefault="004839A9" w:rsidP="00B367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5D8D" w:rsidRPr="006B43B4" w:rsidRDefault="00145D8D" w:rsidP="00B367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7A4C" w:rsidRDefault="00387A4C" w:rsidP="00B367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0F85" w:rsidRDefault="000C0F85" w:rsidP="00B367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0F85" w:rsidRDefault="000C0F85" w:rsidP="00B367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 Owner: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AC29B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768AC">
              <w:rPr>
                <w:rFonts w:ascii="Arial" w:hAnsi="Arial" w:cs="Arial"/>
                <w:bCs/>
                <w:sz w:val="20"/>
                <w:szCs w:val="20"/>
              </w:rPr>
              <w:t>Sr. Associate Dean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768AC">
              <w:rPr>
                <w:rFonts w:ascii="Arial" w:hAnsi="Arial" w:cs="Arial"/>
                <w:bCs/>
                <w:sz w:val="20"/>
                <w:szCs w:val="20"/>
              </w:rPr>
              <w:t xml:space="preserve">for </w:t>
            </w:r>
            <w:r w:rsidR="008A42E1">
              <w:rPr>
                <w:rFonts w:ascii="Arial" w:hAnsi="Arial" w:cs="Arial"/>
                <w:bCs/>
                <w:sz w:val="20"/>
                <w:szCs w:val="20"/>
              </w:rPr>
              <w:t>Research</w:t>
            </w:r>
          </w:p>
          <w:p w:rsidR="00013292" w:rsidRPr="006B43B4" w:rsidRDefault="00013292" w:rsidP="00B36713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9A9" w:rsidRPr="006B43B4" w:rsidRDefault="004839A9" w:rsidP="00B36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43B4">
              <w:rPr>
                <w:rFonts w:ascii="Arial" w:hAnsi="Arial" w:cs="Arial"/>
                <w:b/>
                <w:sz w:val="20"/>
                <w:szCs w:val="20"/>
              </w:rPr>
              <w:t>Responsible Office(s):</w:t>
            </w:r>
          </w:p>
          <w:p w:rsidR="004839A9" w:rsidRPr="006B43B4" w:rsidRDefault="004839A9" w:rsidP="00B36713">
            <w:pPr>
              <w:rPr>
                <w:rFonts w:ascii="Arial" w:hAnsi="Arial" w:cs="Arial"/>
              </w:rPr>
            </w:pPr>
            <w:proofErr w:type="spellStart"/>
            <w:r w:rsidRPr="006B43B4">
              <w:rPr>
                <w:rFonts w:ascii="Arial" w:hAnsi="Arial" w:cs="Arial"/>
                <w:sz w:val="20"/>
                <w:szCs w:val="20"/>
              </w:rPr>
              <w:t>C</w:t>
            </w:r>
            <w:r w:rsidR="00AC29B9">
              <w:rPr>
                <w:rFonts w:ascii="Arial" w:hAnsi="Arial" w:cs="Arial"/>
                <w:sz w:val="20"/>
                <w:szCs w:val="20"/>
              </w:rPr>
              <w:t>o</w:t>
            </w:r>
            <w:r w:rsidRPr="006B43B4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Pr="006B43B4">
              <w:rPr>
                <w:rFonts w:ascii="Arial" w:hAnsi="Arial" w:cs="Arial"/>
                <w:sz w:val="20"/>
                <w:szCs w:val="20"/>
              </w:rPr>
              <w:t xml:space="preserve"> Dean</w:t>
            </w:r>
          </w:p>
        </w:tc>
      </w:tr>
    </w:tbl>
    <w:p w:rsidR="005C01F2" w:rsidRDefault="005C01F2" w:rsidP="00B36713">
      <w:pPr>
        <w:rPr>
          <w:b/>
          <w:u w:val="single"/>
        </w:rPr>
      </w:pPr>
    </w:p>
    <w:p w:rsidR="003B1E76" w:rsidRDefault="003B1E76" w:rsidP="00B36713">
      <w:pPr>
        <w:pStyle w:val="Heading1"/>
        <w:spacing w:before="69"/>
        <w:ind w:right="103"/>
        <w:jc w:val="both"/>
        <w:rPr>
          <w:spacing w:val="-1"/>
          <w:u w:val="thick" w:color="000000"/>
        </w:rPr>
      </w:pPr>
      <w:r w:rsidRPr="00956390">
        <w:rPr>
          <w:spacing w:val="-1"/>
          <w:u w:val="thick" w:color="000000"/>
        </w:rPr>
        <w:t>Background</w:t>
      </w:r>
    </w:p>
    <w:p w:rsidR="003B1E76" w:rsidRPr="00956390" w:rsidRDefault="003B1E76" w:rsidP="00B36713">
      <w:pPr>
        <w:pStyle w:val="Heading1"/>
        <w:spacing w:before="69"/>
        <w:ind w:right="103"/>
        <w:jc w:val="both"/>
        <w:rPr>
          <w:rFonts w:cs="Arial"/>
          <w:b w:val="0"/>
          <w:sz w:val="20"/>
          <w:szCs w:val="20"/>
        </w:rPr>
      </w:pPr>
    </w:p>
    <w:p w:rsidR="00614A09" w:rsidRDefault="00C86592" w:rsidP="00B36713">
      <w:pPr>
        <w:pStyle w:val="BodyText"/>
        <w:spacing w:before="69"/>
        <w:ind w:left="220" w:right="103" w:firstLine="0"/>
        <w:jc w:val="both"/>
        <w:rPr>
          <w:rFonts w:cs="Arial"/>
        </w:rPr>
      </w:pPr>
      <w:r>
        <w:rPr>
          <w:rFonts w:cs="Arial"/>
        </w:rPr>
        <w:t>Research at t</w:t>
      </w:r>
      <w:r w:rsidR="008A42E1" w:rsidRPr="008A42E1">
        <w:rPr>
          <w:rFonts w:cs="Arial"/>
        </w:rPr>
        <w:t>he College of Medicine (</w:t>
      </w:r>
      <w:proofErr w:type="spellStart"/>
      <w:r w:rsidR="008A42E1" w:rsidRPr="008A42E1">
        <w:rPr>
          <w:rFonts w:cs="Arial"/>
        </w:rPr>
        <w:t>CoM</w:t>
      </w:r>
      <w:proofErr w:type="spellEnd"/>
      <w:r w:rsidR="008A42E1" w:rsidRPr="008A42E1">
        <w:rPr>
          <w:rFonts w:cs="Arial"/>
        </w:rPr>
        <w:t>)</w:t>
      </w:r>
      <w:r w:rsidR="00691A1A">
        <w:rPr>
          <w:rFonts w:cs="Arial"/>
        </w:rPr>
        <w:t xml:space="preserve"> </w:t>
      </w:r>
      <w:r>
        <w:rPr>
          <w:rFonts w:cs="Arial"/>
        </w:rPr>
        <w:t>is conducted</w:t>
      </w:r>
      <w:r w:rsidR="00063C3A">
        <w:rPr>
          <w:rFonts w:cs="Arial"/>
        </w:rPr>
        <w:t xml:space="preserve"> </w:t>
      </w:r>
      <w:r w:rsidR="00691A1A">
        <w:rPr>
          <w:rFonts w:cs="Arial"/>
        </w:rPr>
        <w:t xml:space="preserve">in several settings, including laboratories, hospitals, clinics, and offices which involve faculty, </w:t>
      </w:r>
      <w:r w:rsidR="00614A09">
        <w:rPr>
          <w:rFonts w:cs="Arial"/>
        </w:rPr>
        <w:t xml:space="preserve">clinicians, </w:t>
      </w:r>
      <w:r w:rsidR="00691A1A">
        <w:rPr>
          <w:rFonts w:cs="Arial"/>
        </w:rPr>
        <w:t>graduate students</w:t>
      </w:r>
      <w:r>
        <w:rPr>
          <w:rFonts w:cs="Arial"/>
        </w:rPr>
        <w:t xml:space="preserve"> and other trainees</w:t>
      </w:r>
      <w:r w:rsidR="00691A1A">
        <w:rPr>
          <w:rFonts w:cs="Arial"/>
        </w:rPr>
        <w:t xml:space="preserve">, professionals, </w:t>
      </w:r>
      <w:r w:rsidR="0002152B">
        <w:rPr>
          <w:rFonts w:cs="Arial"/>
        </w:rPr>
        <w:t>affiliated faculty</w:t>
      </w:r>
      <w:r>
        <w:rPr>
          <w:rFonts w:cs="Arial"/>
        </w:rPr>
        <w:t>, technicians, students</w:t>
      </w:r>
      <w:r w:rsidR="0002152B">
        <w:rPr>
          <w:rFonts w:cs="Arial"/>
        </w:rPr>
        <w:t xml:space="preserve"> </w:t>
      </w:r>
      <w:r w:rsidR="00691A1A">
        <w:rPr>
          <w:rFonts w:cs="Arial"/>
        </w:rPr>
        <w:t xml:space="preserve">and staff.  Publication of </w:t>
      </w:r>
      <w:r>
        <w:rPr>
          <w:rFonts w:cs="Arial"/>
        </w:rPr>
        <w:t>this</w:t>
      </w:r>
      <w:r w:rsidR="00691A1A">
        <w:rPr>
          <w:rFonts w:cs="Arial"/>
        </w:rPr>
        <w:t xml:space="preserve"> research is often the end</w:t>
      </w:r>
      <w:r w:rsidR="00614A09">
        <w:rPr>
          <w:rFonts w:cs="Arial"/>
        </w:rPr>
        <w:t xml:space="preserve"> point of these </w:t>
      </w:r>
      <w:r w:rsidR="00691A1A">
        <w:rPr>
          <w:rFonts w:cs="Arial"/>
        </w:rPr>
        <w:t xml:space="preserve">studies.  </w:t>
      </w:r>
      <w:r>
        <w:rPr>
          <w:rFonts w:cs="Arial"/>
        </w:rPr>
        <w:t>Publications</w:t>
      </w:r>
      <w:r w:rsidR="00614A09">
        <w:rPr>
          <w:rFonts w:cs="Arial"/>
        </w:rPr>
        <w:t xml:space="preserve"> are often used as a metric of research productivity for a variety of downstream applications including promotions, graduate degrees, and status in a specific discipline.  Authorship on research publications implies recognition of efforts and accountability for the </w:t>
      </w:r>
      <w:r>
        <w:rPr>
          <w:rFonts w:cs="Arial"/>
        </w:rPr>
        <w:t xml:space="preserve">methods, </w:t>
      </w:r>
      <w:r w:rsidR="00614A09">
        <w:rPr>
          <w:rFonts w:cs="Arial"/>
        </w:rPr>
        <w:t>data and outcomes.  However, the expectations of authorship vary con</w:t>
      </w:r>
      <w:r>
        <w:rPr>
          <w:rFonts w:cs="Arial"/>
        </w:rPr>
        <w:t xml:space="preserve">siderably across disciplines, </w:t>
      </w:r>
      <w:r w:rsidR="00614A09">
        <w:rPr>
          <w:rFonts w:cs="Arial"/>
        </w:rPr>
        <w:t>departments</w:t>
      </w:r>
      <w:r>
        <w:rPr>
          <w:rFonts w:cs="Arial"/>
        </w:rPr>
        <w:t>,</w:t>
      </w:r>
      <w:r w:rsidR="00614A09">
        <w:rPr>
          <w:rFonts w:cs="Arial"/>
        </w:rPr>
        <w:t xml:space="preserve"> and even among laboratories in the same discipline</w:t>
      </w:r>
      <w:r>
        <w:rPr>
          <w:rFonts w:cs="Arial"/>
        </w:rPr>
        <w:t xml:space="preserve"> or department</w:t>
      </w:r>
      <w:r w:rsidR="00614A09">
        <w:rPr>
          <w:rFonts w:cs="Arial"/>
        </w:rPr>
        <w:t xml:space="preserve">. </w:t>
      </w:r>
    </w:p>
    <w:p w:rsidR="00AD3C2D" w:rsidRDefault="00AD3C2D" w:rsidP="00B36713">
      <w:pPr>
        <w:pStyle w:val="BodyText"/>
        <w:spacing w:before="69"/>
        <w:ind w:left="220" w:right="103" w:firstLine="0"/>
        <w:jc w:val="both"/>
        <w:rPr>
          <w:rFonts w:cs="Arial"/>
        </w:rPr>
      </w:pPr>
    </w:p>
    <w:p w:rsidR="00AD3C2D" w:rsidRDefault="00C86592" w:rsidP="00B36713">
      <w:pPr>
        <w:pStyle w:val="BodyText"/>
        <w:spacing w:before="69"/>
        <w:ind w:left="220" w:right="103" w:firstLine="0"/>
        <w:jc w:val="both"/>
        <w:rPr>
          <w:rFonts w:cs="Arial"/>
        </w:rPr>
      </w:pPr>
      <w:r>
        <w:rPr>
          <w:rFonts w:cs="Arial"/>
        </w:rPr>
        <w:t>T</w:t>
      </w:r>
      <w:r w:rsidR="00614A09">
        <w:rPr>
          <w:rFonts w:cs="Arial"/>
        </w:rPr>
        <w:t>he Office</w:t>
      </w:r>
      <w:r w:rsidR="00AD3C2D">
        <w:rPr>
          <w:rFonts w:cs="Arial"/>
        </w:rPr>
        <w:t xml:space="preserve"> of Research at the College </w:t>
      </w:r>
      <w:r>
        <w:rPr>
          <w:rFonts w:cs="Arial"/>
        </w:rPr>
        <w:t xml:space="preserve">has </w:t>
      </w:r>
      <w:r w:rsidR="00614A09">
        <w:rPr>
          <w:rFonts w:cs="Arial"/>
        </w:rPr>
        <w:t xml:space="preserve">encouraged the use of standards set forth by the </w:t>
      </w:r>
      <w:r w:rsidR="00AD3C2D">
        <w:rPr>
          <w:rFonts w:cs="Arial"/>
        </w:rPr>
        <w:t xml:space="preserve">International Committee </w:t>
      </w:r>
      <w:r w:rsidR="00614A09">
        <w:rPr>
          <w:rFonts w:cs="Arial"/>
        </w:rPr>
        <w:t>of Medical Journal Editors</w:t>
      </w:r>
      <w:r w:rsidR="00AD3C2D">
        <w:rPr>
          <w:rFonts w:cs="Arial"/>
        </w:rPr>
        <w:t xml:space="preserve"> (</w:t>
      </w:r>
      <w:hyperlink r:id="rId9" w:history="1">
        <w:r w:rsidR="00AD3C2D" w:rsidRPr="0073051F">
          <w:rPr>
            <w:rStyle w:val="Hyperlink"/>
            <w:rFonts w:cs="Arial"/>
          </w:rPr>
          <w:t>http://www.icmje.org/</w:t>
        </w:r>
      </w:hyperlink>
      <w:r w:rsidR="00AD3C2D">
        <w:rPr>
          <w:rFonts w:cs="Arial"/>
        </w:rPr>
        <w:t xml:space="preserve">), but adoption of these guidelines has not been consistent across the College and many faculty and students are unaware of these standards. </w:t>
      </w:r>
      <w:r w:rsidR="00147356">
        <w:rPr>
          <w:rFonts w:cs="Arial"/>
        </w:rPr>
        <w:t>Collaboration and teamwork is a pillar of the College and a l</w:t>
      </w:r>
      <w:r w:rsidR="00AD3C2D">
        <w:rPr>
          <w:rFonts w:cs="Arial"/>
        </w:rPr>
        <w:t xml:space="preserve">ack of transparency </w:t>
      </w:r>
      <w:r w:rsidR="00C356C2">
        <w:rPr>
          <w:rFonts w:cs="Arial"/>
        </w:rPr>
        <w:t xml:space="preserve">of authorship guidelines </w:t>
      </w:r>
      <w:r w:rsidR="00147356">
        <w:rPr>
          <w:rFonts w:cs="Arial"/>
        </w:rPr>
        <w:t>can lead</w:t>
      </w:r>
      <w:r w:rsidR="00AD3C2D">
        <w:rPr>
          <w:rFonts w:cs="Arial"/>
        </w:rPr>
        <w:t xml:space="preserve"> to a number of problems associated with the integrity of the conduct of research, including inappropriate authorships, such as ghost authorship where contributors to the efforts are not listed; honorific authorship which adds individuals who have not substantially contributed to the content; orphan authorship where significant contributors are left off the publication</w:t>
      </w:r>
      <w:r w:rsidR="00B36713">
        <w:rPr>
          <w:rFonts w:cs="Arial"/>
        </w:rPr>
        <w:t>;</w:t>
      </w:r>
      <w:r w:rsidR="00AD3C2D">
        <w:rPr>
          <w:rFonts w:cs="Arial"/>
        </w:rPr>
        <w:t xml:space="preserve"> or forged authorship in which an author who had no part in the work is added without consent. </w:t>
      </w:r>
    </w:p>
    <w:p w:rsidR="00C356C2" w:rsidRDefault="00C356C2" w:rsidP="00B36713">
      <w:pPr>
        <w:pStyle w:val="BodyText"/>
        <w:spacing w:before="69"/>
        <w:ind w:left="220" w:right="103" w:firstLine="0"/>
        <w:jc w:val="both"/>
        <w:rPr>
          <w:rFonts w:cs="Arial"/>
        </w:rPr>
      </w:pPr>
    </w:p>
    <w:p w:rsidR="00C356C2" w:rsidRDefault="00C356C2" w:rsidP="00B36713">
      <w:pPr>
        <w:pStyle w:val="BodyText"/>
        <w:spacing w:before="69"/>
        <w:ind w:left="220" w:right="103" w:firstLine="0"/>
        <w:jc w:val="both"/>
        <w:rPr>
          <w:rFonts w:cs="Arial"/>
        </w:rPr>
      </w:pPr>
      <w:r>
        <w:rPr>
          <w:rFonts w:cs="Arial"/>
        </w:rPr>
        <w:t>Authorship implies accountab</w:t>
      </w:r>
      <w:r w:rsidR="00C86592">
        <w:rPr>
          <w:rFonts w:cs="Arial"/>
        </w:rPr>
        <w:t>ility.  As the complexity of research methods has</w:t>
      </w:r>
      <w:r w:rsidR="00147356">
        <w:rPr>
          <w:rFonts w:cs="Arial"/>
        </w:rPr>
        <w:t xml:space="preserve"> expanded</w:t>
      </w:r>
      <w:r>
        <w:rPr>
          <w:rFonts w:cs="Arial"/>
        </w:rPr>
        <w:t xml:space="preserve">, the number of authors who have contributed to the work has amplified, </w:t>
      </w:r>
      <w:r w:rsidR="00147356">
        <w:rPr>
          <w:rFonts w:cs="Arial"/>
        </w:rPr>
        <w:t xml:space="preserve">and those expecting </w:t>
      </w:r>
      <w:r>
        <w:rPr>
          <w:rFonts w:cs="Arial"/>
        </w:rPr>
        <w:t>credit and acknowledgement of their participation, e.g. whole genome sequencing and annotation</w:t>
      </w:r>
      <w:r w:rsidR="00147356">
        <w:rPr>
          <w:rFonts w:cs="Arial"/>
        </w:rPr>
        <w:t>, has also risen</w:t>
      </w:r>
      <w:r>
        <w:rPr>
          <w:rFonts w:cs="Arial"/>
        </w:rPr>
        <w:t xml:space="preserve">.  </w:t>
      </w:r>
      <w:r w:rsidR="00147356">
        <w:rPr>
          <w:rFonts w:cs="Arial"/>
        </w:rPr>
        <w:t>I</w:t>
      </w:r>
      <w:r>
        <w:rPr>
          <w:rFonts w:cs="Arial"/>
        </w:rPr>
        <w:t xml:space="preserve">t </w:t>
      </w:r>
      <w:r w:rsidR="00147356">
        <w:rPr>
          <w:rFonts w:cs="Arial"/>
        </w:rPr>
        <w:t xml:space="preserve">is often </w:t>
      </w:r>
      <w:r w:rsidR="00C86592">
        <w:rPr>
          <w:rFonts w:cs="Arial"/>
        </w:rPr>
        <w:t xml:space="preserve">unclear </w:t>
      </w:r>
      <w:r>
        <w:rPr>
          <w:rFonts w:cs="Arial"/>
        </w:rPr>
        <w:t>to what extent each author is responsible for the content of the parsed research efforts</w:t>
      </w:r>
      <w:r w:rsidR="00147356">
        <w:rPr>
          <w:rFonts w:cs="Arial"/>
        </w:rPr>
        <w:t xml:space="preserve"> and the totality of the publication</w:t>
      </w:r>
      <w:r>
        <w:rPr>
          <w:rFonts w:cs="Arial"/>
        </w:rPr>
        <w:t xml:space="preserve">. </w:t>
      </w:r>
    </w:p>
    <w:p w:rsidR="00614A09" w:rsidRDefault="00AD3C2D" w:rsidP="00B36713">
      <w:pPr>
        <w:pStyle w:val="BodyText"/>
        <w:spacing w:before="69"/>
        <w:ind w:left="220" w:right="103" w:firstLine="0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AD3C2D" w:rsidRDefault="00AD3C2D" w:rsidP="00B36713">
      <w:pPr>
        <w:pStyle w:val="BodyText"/>
        <w:spacing w:before="69"/>
        <w:ind w:left="220" w:right="103" w:firstLine="0"/>
        <w:jc w:val="both"/>
        <w:rPr>
          <w:rFonts w:cs="Arial"/>
          <w:b/>
          <w:u w:val="single"/>
        </w:rPr>
      </w:pPr>
      <w:r w:rsidRPr="00AD3C2D">
        <w:rPr>
          <w:rFonts w:cs="Arial"/>
          <w:b/>
          <w:u w:val="single"/>
        </w:rPr>
        <w:t>Rationale</w:t>
      </w:r>
    </w:p>
    <w:p w:rsidR="00AD3C2D" w:rsidRDefault="00AD3C2D" w:rsidP="00B36713">
      <w:pPr>
        <w:pStyle w:val="BodyText"/>
        <w:spacing w:before="69"/>
        <w:ind w:left="220" w:right="103" w:firstLine="0"/>
        <w:jc w:val="both"/>
        <w:rPr>
          <w:rFonts w:cs="Arial"/>
        </w:rPr>
      </w:pPr>
      <w:r>
        <w:rPr>
          <w:rFonts w:cs="Arial"/>
        </w:rPr>
        <w:t xml:space="preserve">Simply stated, when trust </w:t>
      </w:r>
      <w:r w:rsidR="00C356C2">
        <w:rPr>
          <w:rFonts w:cs="Arial"/>
        </w:rPr>
        <w:t xml:space="preserve">in scientific research is diminished, the scientific enterprise is in peril.  This </w:t>
      </w:r>
      <w:r w:rsidR="00C356C2">
        <w:rPr>
          <w:rFonts w:cs="Arial"/>
        </w:rPr>
        <w:lastRenderedPageBreak/>
        <w:t>can translate into significant academic, social and financial implications.  Publications can be retracted</w:t>
      </w:r>
      <w:r w:rsidR="00147356">
        <w:rPr>
          <w:rFonts w:cs="Arial"/>
        </w:rPr>
        <w:t xml:space="preserve">, grants </w:t>
      </w:r>
      <w:r w:rsidR="00C356C2">
        <w:rPr>
          <w:rFonts w:cs="Arial"/>
        </w:rPr>
        <w:t xml:space="preserve">based on fraudulent data are threatened, and the </w:t>
      </w:r>
      <w:r w:rsidR="00147356">
        <w:rPr>
          <w:rFonts w:cs="Arial"/>
        </w:rPr>
        <w:t xml:space="preserve">community stakeholders are left to question the importance of funding research.  </w:t>
      </w:r>
    </w:p>
    <w:p w:rsidR="00806894" w:rsidRDefault="00806894" w:rsidP="00B36713">
      <w:pPr>
        <w:pStyle w:val="BodyText"/>
        <w:spacing w:before="69"/>
        <w:ind w:left="220" w:right="103" w:firstLine="0"/>
        <w:jc w:val="both"/>
        <w:rPr>
          <w:rFonts w:cs="Arial"/>
        </w:rPr>
      </w:pPr>
    </w:p>
    <w:p w:rsidR="00063C3A" w:rsidRDefault="00C86592" w:rsidP="00B36713">
      <w:pPr>
        <w:pStyle w:val="BodyText"/>
        <w:spacing w:before="69"/>
        <w:ind w:left="220" w:right="103" w:firstLine="0"/>
        <w:rPr>
          <w:rFonts w:cs="Arial"/>
        </w:rPr>
      </w:pPr>
      <w:r>
        <w:rPr>
          <w:rFonts w:cs="Arial"/>
        </w:rPr>
        <w:t xml:space="preserve">To ensure that all </w:t>
      </w:r>
      <w:proofErr w:type="spellStart"/>
      <w:r w:rsidR="00063C3A">
        <w:rPr>
          <w:rFonts w:cs="Arial"/>
        </w:rPr>
        <w:t>CoM</w:t>
      </w:r>
      <w:proofErr w:type="spellEnd"/>
      <w:r w:rsidR="00063C3A">
        <w:rPr>
          <w:rFonts w:cs="Arial"/>
        </w:rPr>
        <w:t xml:space="preserve"> invest</w:t>
      </w:r>
      <w:r>
        <w:rPr>
          <w:rFonts w:cs="Arial"/>
        </w:rPr>
        <w:t>igators, their trainees, and</w:t>
      </w:r>
      <w:r w:rsidR="00063C3A">
        <w:rPr>
          <w:rFonts w:cs="Arial"/>
        </w:rPr>
        <w:t xml:space="preserve"> others engaged in research maintain the integrity of our common enterprise, the following authorship standards are</w:t>
      </w:r>
      <w:r w:rsidR="00FA2223">
        <w:rPr>
          <w:rFonts w:cs="Arial"/>
        </w:rPr>
        <w:t xml:space="preserve"> the</w:t>
      </w:r>
      <w:r w:rsidR="00063C3A">
        <w:rPr>
          <w:rFonts w:cs="Arial"/>
        </w:rPr>
        <w:t xml:space="preserve"> policy of the College of Medicine</w:t>
      </w:r>
      <w:r w:rsidR="0002152B">
        <w:rPr>
          <w:rFonts w:cs="Arial"/>
        </w:rPr>
        <w:t xml:space="preserve">, </w:t>
      </w:r>
      <w:r w:rsidR="00063C3A">
        <w:rPr>
          <w:rFonts w:cs="Arial"/>
        </w:rPr>
        <w:t>its affiliated faculty and</w:t>
      </w:r>
      <w:r w:rsidR="0002152B">
        <w:rPr>
          <w:rFonts w:cs="Arial"/>
        </w:rPr>
        <w:t xml:space="preserve"> all who conduct research</w:t>
      </w:r>
      <w:r w:rsidR="00FA2223">
        <w:rPr>
          <w:rFonts w:cs="Arial"/>
        </w:rPr>
        <w:t>; these standards have been adopted per the recommendations</w:t>
      </w:r>
      <w:r w:rsidR="0002152B">
        <w:rPr>
          <w:rFonts w:cs="Arial"/>
        </w:rPr>
        <w:t xml:space="preserve"> </w:t>
      </w:r>
      <w:r w:rsidR="00FA2223">
        <w:rPr>
          <w:rFonts w:cs="Arial"/>
        </w:rPr>
        <w:t>of McNutt MK</w:t>
      </w:r>
      <w:r>
        <w:rPr>
          <w:rFonts w:cs="Arial"/>
        </w:rPr>
        <w:t>,</w:t>
      </w:r>
      <w:r w:rsidR="00FA2223">
        <w:rPr>
          <w:rFonts w:cs="Arial"/>
        </w:rPr>
        <w:t xml:space="preserve"> et al. </w:t>
      </w:r>
      <w:hyperlink r:id="rId10" w:history="1">
        <w:r w:rsidR="00FA2223" w:rsidRPr="0073051F">
          <w:rPr>
            <w:rStyle w:val="Hyperlink"/>
            <w:rFonts w:cs="Arial"/>
          </w:rPr>
          <w:t>www.pnas.org/cgi/doi/10.1073/pnas.1715374115</w:t>
        </w:r>
      </w:hyperlink>
      <w:r w:rsidR="00FA2223">
        <w:rPr>
          <w:rFonts w:cs="Arial"/>
        </w:rPr>
        <w:t xml:space="preserve">, which were adapted from the ICMJE guidelines. </w:t>
      </w:r>
    </w:p>
    <w:p w:rsidR="00147356" w:rsidRDefault="00147356" w:rsidP="00B36713">
      <w:pPr>
        <w:pStyle w:val="BodyText"/>
        <w:spacing w:before="69"/>
        <w:ind w:left="220" w:right="103" w:firstLine="0"/>
        <w:jc w:val="both"/>
        <w:rPr>
          <w:rFonts w:cs="Arial"/>
        </w:rPr>
      </w:pPr>
    </w:p>
    <w:p w:rsidR="00147356" w:rsidRDefault="00806894" w:rsidP="00B36713">
      <w:pPr>
        <w:pStyle w:val="BodyText"/>
        <w:spacing w:before="69"/>
        <w:ind w:left="220" w:right="103" w:firstLine="0"/>
        <w:jc w:val="both"/>
        <w:rPr>
          <w:rFonts w:cs="Arial"/>
        </w:rPr>
      </w:pPr>
      <w:r w:rsidRPr="0002152B">
        <w:rPr>
          <w:rFonts w:cs="Arial"/>
          <w:b/>
          <w:u w:val="single"/>
        </w:rPr>
        <w:t>Authorship guidelines</w:t>
      </w:r>
      <w:r>
        <w:rPr>
          <w:rFonts w:cs="Arial"/>
        </w:rPr>
        <w:t>.</w:t>
      </w:r>
    </w:p>
    <w:p w:rsidR="0002152B" w:rsidRDefault="00FA2223" w:rsidP="00B36713">
      <w:pPr>
        <w:pStyle w:val="BodyText"/>
        <w:numPr>
          <w:ilvl w:val="0"/>
          <w:numId w:val="11"/>
        </w:numPr>
        <w:spacing w:before="69"/>
        <w:ind w:right="103"/>
        <w:jc w:val="both"/>
        <w:rPr>
          <w:rFonts w:cs="Arial"/>
        </w:rPr>
      </w:pPr>
      <w:r>
        <w:rPr>
          <w:rFonts w:cs="Arial"/>
        </w:rPr>
        <w:t>Each author is expected to have made substantial</w:t>
      </w:r>
      <w:r w:rsidR="00B36713">
        <w:rPr>
          <w:rFonts w:cs="Arial"/>
        </w:rPr>
        <w:t xml:space="preserve"> contributions to the concept</w:t>
      </w:r>
      <w:r>
        <w:rPr>
          <w:rFonts w:cs="Arial"/>
        </w:rPr>
        <w:t xml:space="preserve"> or design of the work;</w:t>
      </w:r>
    </w:p>
    <w:p w:rsidR="00FA2223" w:rsidRDefault="00FA2223" w:rsidP="00B36713">
      <w:pPr>
        <w:pStyle w:val="BodyText"/>
        <w:numPr>
          <w:ilvl w:val="0"/>
          <w:numId w:val="11"/>
        </w:numPr>
        <w:spacing w:before="69"/>
        <w:ind w:right="103"/>
        <w:jc w:val="both"/>
        <w:rPr>
          <w:rFonts w:cs="Arial"/>
        </w:rPr>
      </w:pPr>
      <w:r>
        <w:rPr>
          <w:rFonts w:cs="Arial"/>
        </w:rPr>
        <w:t>Or the acquisition, analysis, or interpretation of data;</w:t>
      </w:r>
    </w:p>
    <w:p w:rsidR="00FA2223" w:rsidRDefault="00FA2223" w:rsidP="00B36713">
      <w:pPr>
        <w:pStyle w:val="BodyText"/>
        <w:numPr>
          <w:ilvl w:val="0"/>
          <w:numId w:val="11"/>
        </w:numPr>
        <w:spacing w:before="69"/>
        <w:ind w:right="103"/>
        <w:jc w:val="both"/>
        <w:rPr>
          <w:rFonts w:cs="Arial"/>
        </w:rPr>
      </w:pPr>
      <w:r>
        <w:rPr>
          <w:rFonts w:cs="Arial"/>
        </w:rPr>
        <w:t>Or the creation of new software used in the work;</w:t>
      </w:r>
    </w:p>
    <w:p w:rsidR="00FA2223" w:rsidRDefault="00FA2223" w:rsidP="00B36713">
      <w:pPr>
        <w:pStyle w:val="BodyText"/>
        <w:numPr>
          <w:ilvl w:val="0"/>
          <w:numId w:val="11"/>
        </w:numPr>
        <w:spacing w:before="69"/>
        <w:ind w:right="103"/>
        <w:jc w:val="both"/>
        <w:rPr>
          <w:rFonts w:cs="Arial"/>
        </w:rPr>
      </w:pPr>
      <w:r>
        <w:rPr>
          <w:rFonts w:cs="Arial"/>
        </w:rPr>
        <w:t>AND to have approved the submitted version (and</w:t>
      </w:r>
      <w:r w:rsidR="00B36713">
        <w:rPr>
          <w:rFonts w:cs="Arial"/>
        </w:rPr>
        <w:t xml:space="preserve"> any substantially modifi</w:t>
      </w:r>
      <w:r>
        <w:rPr>
          <w:rFonts w:cs="Arial"/>
        </w:rPr>
        <w:t>ed version that involves the author’s own contributions to the study</w:t>
      </w:r>
      <w:r w:rsidR="00C86592">
        <w:rPr>
          <w:rFonts w:cs="Arial"/>
        </w:rPr>
        <w:t>);</w:t>
      </w:r>
    </w:p>
    <w:p w:rsidR="00C86592" w:rsidRDefault="00FA2223" w:rsidP="00B36713">
      <w:pPr>
        <w:pStyle w:val="BodyText"/>
        <w:numPr>
          <w:ilvl w:val="0"/>
          <w:numId w:val="11"/>
        </w:numPr>
        <w:spacing w:before="69"/>
        <w:ind w:right="103"/>
        <w:jc w:val="both"/>
        <w:rPr>
          <w:rFonts w:cs="Arial"/>
        </w:rPr>
      </w:pPr>
      <w:r>
        <w:rPr>
          <w:rFonts w:cs="Arial"/>
        </w:rPr>
        <w:t xml:space="preserve">AND to have agreed both to be personally accountable for the author’s own contributions </w:t>
      </w:r>
    </w:p>
    <w:p w:rsidR="00FA2223" w:rsidRDefault="00C86592" w:rsidP="00B36713">
      <w:pPr>
        <w:pStyle w:val="BodyText"/>
        <w:numPr>
          <w:ilvl w:val="0"/>
          <w:numId w:val="11"/>
        </w:numPr>
        <w:spacing w:before="69"/>
        <w:ind w:right="103"/>
        <w:jc w:val="both"/>
        <w:rPr>
          <w:rFonts w:cs="Arial"/>
        </w:rPr>
      </w:pPr>
      <w:r>
        <w:rPr>
          <w:rFonts w:cs="Arial"/>
        </w:rPr>
        <w:t>AND</w:t>
      </w:r>
      <w:r w:rsidR="00FA2223">
        <w:rPr>
          <w:rFonts w:cs="Arial"/>
        </w:rPr>
        <w:t xml:space="preserve"> to ensure that questions related to the accuracy or integrity of any part of the work, even ones in which the author was not personally involved</w:t>
      </w:r>
      <w:r>
        <w:rPr>
          <w:rFonts w:cs="Arial"/>
        </w:rPr>
        <w:t>,</w:t>
      </w:r>
      <w:r w:rsidR="00FA2223">
        <w:rPr>
          <w:rFonts w:cs="Arial"/>
        </w:rPr>
        <w:t xml:space="preserve"> are appropriately investigated, resolved, and the resolution documented in the literature.</w:t>
      </w:r>
    </w:p>
    <w:p w:rsidR="00FA2223" w:rsidRDefault="00FA2223" w:rsidP="00B36713">
      <w:pPr>
        <w:pStyle w:val="BodyText"/>
        <w:numPr>
          <w:ilvl w:val="0"/>
          <w:numId w:val="11"/>
        </w:numPr>
        <w:spacing w:before="69"/>
        <w:ind w:right="103"/>
        <w:jc w:val="both"/>
        <w:rPr>
          <w:rFonts w:cs="Arial"/>
        </w:rPr>
      </w:pPr>
      <w:r>
        <w:rPr>
          <w:rFonts w:cs="Arial"/>
        </w:rPr>
        <w:t xml:space="preserve">It is </w:t>
      </w:r>
      <w:r w:rsidR="00B36713">
        <w:rPr>
          <w:rFonts w:cs="Arial"/>
          <w:u w:val="single"/>
        </w:rPr>
        <w:t>now mandated</w:t>
      </w:r>
      <w:r>
        <w:rPr>
          <w:rFonts w:cs="Arial"/>
        </w:rPr>
        <w:t xml:space="preserve"> that each author registers for an ORCID identifier </w:t>
      </w:r>
      <w:r w:rsidR="00C86592">
        <w:rPr>
          <w:rFonts w:cs="Arial"/>
        </w:rPr>
        <w:t>(</w:t>
      </w:r>
      <w:hyperlink r:id="rId11" w:history="1">
        <w:r w:rsidR="00C86592" w:rsidRPr="00456772">
          <w:rPr>
            <w:rStyle w:val="Hyperlink"/>
            <w:rFonts w:cs="Arial"/>
          </w:rPr>
          <w:t>https://orcid.org/</w:t>
        </w:r>
      </w:hyperlink>
      <w:r w:rsidR="00C86592">
        <w:rPr>
          <w:rFonts w:cs="Arial"/>
        </w:rPr>
        <w:t xml:space="preserve">) </w:t>
      </w:r>
      <w:r>
        <w:rPr>
          <w:rFonts w:cs="Arial"/>
        </w:rPr>
        <w:t>to reliably link author records to publications, to capture author contributions in the journal’s metadata, and to track and retrieve and individual’s authorship contributions across publications and across time.</w:t>
      </w:r>
    </w:p>
    <w:p w:rsidR="00CF4D12" w:rsidRPr="00CF4D12" w:rsidRDefault="00CF4D12" w:rsidP="00B36713">
      <w:pPr>
        <w:pStyle w:val="BodyText"/>
        <w:spacing w:before="69"/>
        <w:ind w:left="580" w:right="103" w:firstLine="0"/>
        <w:jc w:val="both"/>
        <w:rPr>
          <w:rFonts w:cs="Arial"/>
          <w:b/>
        </w:rPr>
      </w:pPr>
      <w:r w:rsidRPr="00CF4D12">
        <w:rPr>
          <w:rFonts w:cs="Arial"/>
          <w:b/>
        </w:rPr>
        <w:t>It will be the responsibility of each academic unit to inform all those engaged in scholarly and research activities to be informed of the</w:t>
      </w:r>
      <w:r w:rsidR="00B36713">
        <w:rPr>
          <w:rFonts w:cs="Arial"/>
          <w:b/>
        </w:rPr>
        <w:t xml:space="preserve"> guidelines and this policy, and</w:t>
      </w:r>
      <w:r w:rsidRPr="00CF4D12">
        <w:rPr>
          <w:rFonts w:cs="Arial"/>
          <w:b/>
        </w:rPr>
        <w:t xml:space="preserve"> to put them into practice.</w:t>
      </w:r>
    </w:p>
    <w:p w:rsidR="00690F34" w:rsidRDefault="00690F34" w:rsidP="00B36713">
      <w:pPr>
        <w:pStyle w:val="Heading1"/>
        <w:spacing w:before="69"/>
        <w:ind w:right="103"/>
        <w:jc w:val="both"/>
        <w:rPr>
          <w:sz w:val="20"/>
          <w:szCs w:val="20"/>
        </w:rPr>
      </w:pPr>
    </w:p>
    <w:p w:rsidR="003B1E76" w:rsidRPr="00A972F4" w:rsidRDefault="003B1E76" w:rsidP="00B36713">
      <w:pPr>
        <w:pStyle w:val="Heading1"/>
        <w:spacing w:before="69"/>
        <w:jc w:val="both"/>
        <w:rPr>
          <w:b w:val="0"/>
          <w:bCs w:val="0"/>
          <w:u w:val="single"/>
        </w:rPr>
      </w:pPr>
      <w:r w:rsidRPr="00A972F4">
        <w:rPr>
          <w:u w:val="single"/>
        </w:rPr>
        <w:t>P</w:t>
      </w:r>
      <w:r w:rsidRPr="00A972F4">
        <w:rPr>
          <w:spacing w:val="-1"/>
          <w:u w:val="single"/>
        </w:rPr>
        <w:t>hon</w:t>
      </w:r>
      <w:r w:rsidRPr="00A972F4">
        <w:rPr>
          <w:u w:val="single"/>
        </w:rPr>
        <w:t>e</w:t>
      </w:r>
      <w:r w:rsidRPr="00A972F4">
        <w:rPr>
          <w:spacing w:val="1"/>
          <w:u w:val="single"/>
        </w:rPr>
        <w:t xml:space="preserve"> </w:t>
      </w:r>
      <w:r w:rsidRPr="00A972F4">
        <w:rPr>
          <w:spacing w:val="-1"/>
          <w:u w:val="single"/>
        </w:rPr>
        <w:t>Cont</w:t>
      </w:r>
      <w:r w:rsidRPr="00A972F4">
        <w:rPr>
          <w:u w:val="single"/>
        </w:rPr>
        <w:t>ac</w:t>
      </w:r>
      <w:r w:rsidRPr="00A972F4">
        <w:rPr>
          <w:spacing w:val="-1"/>
          <w:u w:val="single"/>
        </w:rPr>
        <w:t>t</w:t>
      </w:r>
      <w:r w:rsidRPr="00A972F4">
        <w:rPr>
          <w:u w:val="single"/>
        </w:rPr>
        <w:t>s</w:t>
      </w:r>
    </w:p>
    <w:p w:rsidR="003B1E76" w:rsidRPr="00A972F4" w:rsidRDefault="003B1E76" w:rsidP="00B36713">
      <w:pPr>
        <w:spacing w:before="19" w:line="260" w:lineRule="exact"/>
        <w:jc w:val="both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2340"/>
      </w:tblGrid>
      <w:tr w:rsidR="003B1E76" w:rsidTr="008675B6">
        <w:trPr>
          <w:trHeight w:hRule="exact" w:val="288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E76" w:rsidRDefault="003B1E76" w:rsidP="00B36713">
            <w:pPr>
              <w:pStyle w:val="TableParagraph"/>
              <w:spacing w:line="273" w:lineRule="exact"/>
              <w:ind w:lef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="00AC29B9"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920DDD">
              <w:rPr>
                <w:rFonts w:ascii="Arial" w:eastAsia="Arial" w:hAnsi="Arial" w:cs="Arial"/>
                <w:sz w:val="24"/>
                <w:szCs w:val="24"/>
              </w:rPr>
              <w:t>Office of Research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E76" w:rsidRDefault="003B1E76" w:rsidP="00B36713">
            <w:pPr>
              <w:pStyle w:val="TableParagraph"/>
              <w:spacing w:line="273" w:lineRule="exact"/>
              <w:ind w:lef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558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 w:rsidR="0002152B">
              <w:rPr>
                <w:rFonts w:ascii="Arial" w:eastAsia="Arial" w:hAnsi="Arial" w:cs="Arial"/>
                <w:spacing w:val="-2"/>
                <w:sz w:val="24"/>
                <w:szCs w:val="24"/>
              </w:rPr>
              <w:t>7540</w:t>
            </w:r>
          </w:p>
        </w:tc>
      </w:tr>
      <w:tr w:rsidR="003B1E76" w:rsidTr="008675B6">
        <w:trPr>
          <w:trHeight w:hRule="exact" w:val="286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E76" w:rsidRDefault="003B1E76" w:rsidP="00B36713">
            <w:pPr>
              <w:jc w:val="both"/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E76" w:rsidRDefault="003B1E76" w:rsidP="00B36713">
            <w:pPr>
              <w:jc w:val="both"/>
            </w:pPr>
          </w:p>
        </w:tc>
      </w:tr>
    </w:tbl>
    <w:p w:rsidR="003B1E76" w:rsidRDefault="003B1E76" w:rsidP="00B36713">
      <w:pPr>
        <w:jc w:val="both"/>
      </w:pPr>
    </w:p>
    <w:p w:rsidR="001F0340" w:rsidRPr="001F0340" w:rsidRDefault="001F0340" w:rsidP="00B36713">
      <w:pPr>
        <w:spacing w:after="120"/>
        <w:jc w:val="both"/>
        <w:rPr>
          <w:rFonts w:ascii="Arial" w:hAnsi="Arial" w:cs="Arial"/>
        </w:rPr>
      </w:pPr>
    </w:p>
    <w:sectPr w:rsidR="001F0340" w:rsidRPr="001F0340" w:rsidSect="003B1E76">
      <w:footerReference w:type="default" r:id="rId12"/>
      <w:headerReference w:type="first" r:id="rId13"/>
      <w:footerReference w:type="first" r:id="rId14"/>
      <w:pgSz w:w="12240" w:h="15840"/>
      <w:pgMar w:top="864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BD" w:rsidRDefault="00216CBD" w:rsidP="00BE2663">
      <w:pPr>
        <w:spacing w:after="0" w:line="240" w:lineRule="auto"/>
      </w:pPr>
      <w:r>
        <w:separator/>
      </w:r>
    </w:p>
  </w:endnote>
  <w:endnote w:type="continuationSeparator" w:id="0">
    <w:p w:rsidR="00216CBD" w:rsidRDefault="00216CBD" w:rsidP="00BE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76" w:rsidRDefault="003B1E76" w:rsidP="003B1E76">
    <w:pPr>
      <w:pStyle w:val="Footer"/>
    </w:pPr>
  </w:p>
  <w:p w:rsidR="003B1E76" w:rsidRPr="00DB6AA8" w:rsidRDefault="003B1E76" w:rsidP="003B1E76">
    <w:pPr>
      <w:pStyle w:val="Footer"/>
      <w:rPr>
        <w:i/>
      </w:rPr>
    </w:pPr>
    <w:r w:rsidRPr="00DB6AA8">
      <w:rPr>
        <w:i/>
      </w:rPr>
      <w:t>College of Medicine</w:t>
    </w:r>
    <w:r>
      <w:rPr>
        <w:i/>
      </w:rPr>
      <w:t xml:space="preserve"> </w:t>
    </w:r>
    <w:r w:rsidRPr="00722656">
      <w:rPr>
        <w:i/>
      </w:rPr>
      <w:t>Operating Procedure/Guideline</w:t>
    </w:r>
  </w:p>
  <w:p w:rsidR="003B1E76" w:rsidRPr="00DB6AA8" w:rsidRDefault="00B36713" w:rsidP="003B1E76">
    <w:pPr>
      <w:pStyle w:val="Footer"/>
      <w:rPr>
        <w:i/>
      </w:rPr>
    </w:pPr>
    <w:r>
      <w:rPr>
        <w:i/>
      </w:rPr>
      <w:t>Authorship Guidelines</w:t>
    </w:r>
    <w:r w:rsidR="003B1E76" w:rsidRPr="00DB6AA8">
      <w:rPr>
        <w:i/>
      </w:rPr>
      <w:t xml:space="preserve">, </w:t>
    </w:r>
    <w:sdt>
      <w:sdtPr>
        <w:rPr>
          <w:i/>
        </w:rPr>
        <w:id w:val="-17599775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3B1E76" w:rsidRPr="00DB6AA8">
              <w:rPr>
                <w:i/>
              </w:rPr>
              <w:t xml:space="preserve">Page </w:t>
            </w:r>
            <w:r w:rsidR="003B1E76" w:rsidRPr="00DB6AA8">
              <w:rPr>
                <w:bCs/>
                <w:i/>
                <w:sz w:val="24"/>
                <w:szCs w:val="24"/>
              </w:rPr>
              <w:fldChar w:fldCharType="begin"/>
            </w:r>
            <w:r w:rsidR="003B1E76" w:rsidRPr="00DB6AA8">
              <w:rPr>
                <w:bCs/>
                <w:i/>
              </w:rPr>
              <w:instrText xml:space="preserve"> PAGE </w:instrText>
            </w:r>
            <w:r w:rsidR="003B1E76" w:rsidRPr="00DB6AA8">
              <w:rPr>
                <w:bCs/>
                <w:i/>
                <w:sz w:val="24"/>
                <w:szCs w:val="24"/>
              </w:rPr>
              <w:fldChar w:fldCharType="separate"/>
            </w:r>
            <w:r w:rsidR="00B50DC2">
              <w:rPr>
                <w:bCs/>
                <w:i/>
                <w:noProof/>
              </w:rPr>
              <w:t>2</w:t>
            </w:r>
            <w:r w:rsidR="003B1E76" w:rsidRPr="00DB6AA8">
              <w:rPr>
                <w:bCs/>
                <w:i/>
                <w:sz w:val="24"/>
                <w:szCs w:val="24"/>
              </w:rPr>
              <w:fldChar w:fldCharType="end"/>
            </w:r>
            <w:r w:rsidR="003B1E76" w:rsidRPr="00DB6AA8">
              <w:rPr>
                <w:i/>
              </w:rPr>
              <w:t xml:space="preserve"> of </w:t>
            </w:r>
            <w:r w:rsidR="003B1E76" w:rsidRPr="00DB6AA8">
              <w:rPr>
                <w:bCs/>
                <w:i/>
                <w:sz w:val="24"/>
                <w:szCs w:val="24"/>
              </w:rPr>
              <w:fldChar w:fldCharType="begin"/>
            </w:r>
            <w:r w:rsidR="003B1E76" w:rsidRPr="00DB6AA8">
              <w:rPr>
                <w:bCs/>
                <w:i/>
              </w:rPr>
              <w:instrText xml:space="preserve"> NUMPAGES  </w:instrText>
            </w:r>
            <w:r w:rsidR="003B1E76" w:rsidRPr="00DB6AA8">
              <w:rPr>
                <w:bCs/>
                <w:i/>
                <w:sz w:val="24"/>
                <w:szCs w:val="24"/>
              </w:rPr>
              <w:fldChar w:fldCharType="separate"/>
            </w:r>
            <w:r w:rsidR="00B50DC2">
              <w:rPr>
                <w:bCs/>
                <w:i/>
                <w:noProof/>
              </w:rPr>
              <w:t>2</w:t>
            </w:r>
            <w:r w:rsidR="003B1E76" w:rsidRPr="00DB6AA8">
              <w:rPr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6B43B4" w:rsidRDefault="006B4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76" w:rsidRDefault="003B1E76">
    <w:pPr>
      <w:pStyle w:val="Footer"/>
    </w:pPr>
  </w:p>
  <w:p w:rsidR="003B1E76" w:rsidRDefault="003B1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BD" w:rsidRDefault="00216CBD" w:rsidP="00BE2663">
      <w:pPr>
        <w:spacing w:after="0" w:line="240" w:lineRule="auto"/>
      </w:pPr>
      <w:r>
        <w:separator/>
      </w:r>
    </w:p>
  </w:footnote>
  <w:footnote w:type="continuationSeparator" w:id="0">
    <w:p w:rsidR="00216CBD" w:rsidRDefault="00216CBD" w:rsidP="00BE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678862"/>
      <w:docPartObj>
        <w:docPartGallery w:val="Watermarks"/>
        <w:docPartUnique/>
      </w:docPartObj>
    </w:sdtPr>
    <w:sdtEndPr/>
    <w:sdtContent>
      <w:p w:rsidR="00B1131A" w:rsidRDefault="00B50DC2">
        <w:pPr>
          <w:pStyle w:val="Header"/>
        </w:pPr>
        <w:r>
          <w:rPr>
            <w:noProof/>
          </w:rPr>
          <w:pict w14:anchorId="3E9CE46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BD4"/>
    <w:multiLevelType w:val="hybridMultilevel"/>
    <w:tmpl w:val="3786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E97"/>
    <w:multiLevelType w:val="hybridMultilevel"/>
    <w:tmpl w:val="8E6066E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0E1C78D0"/>
    <w:multiLevelType w:val="hybridMultilevel"/>
    <w:tmpl w:val="13C2799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1ADD4FEE"/>
    <w:multiLevelType w:val="hybridMultilevel"/>
    <w:tmpl w:val="2C0C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C5AB6"/>
    <w:multiLevelType w:val="hybridMultilevel"/>
    <w:tmpl w:val="70B8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66A03"/>
    <w:multiLevelType w:val="hybridMultilevel"/>
    <w:tmpl w:val="FBB03A36"/>
    <w:lvl w:ilvl="0" w:tplc="7A404A6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F5B16"/>
    <w:multiLevelType w:val="hybridMultilevel"/>
    <w:tmpl w:val="49A4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4DF0"/>
    <w:multiLevelType w:val="hybridMultilevel"/>
    <w:tmpl w:val="51DA676C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3EC13967"/>
    <w:multiLevelType w:val="hybridMultilevel"/>
    <w:tmpl w:val="B9AC7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FF34D3"/>
    <w:multiLevelType w:val="hybridMultilevel"/>
    <w:tmpl w:val="621C5D2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51C5370D"/>
    <w:multiLevelType w:val="hybridMultilevel"/>
    <w:tmpl w:val="596CE968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0C316DE-55E4-44A8-9D61-647FB73813D6}"/>
    <w:docVar w:name="dgnword-eventsink" w:val="90112384"/>
  </w:docVars>
  <w:rsids>
    <w:rsidRoot w:val="004839A9"/>
    <w:rsid w:val="00013292"/>
    <w:rsid w:val="0002152B"/>
    <w:rsid w:val="00036B6C"/>
    <w:rsid w:val="0004682F"/>
    <w:rsid w:val="0006150A"/>
    <w:rsid w:val="00063C3A"/>
    <w:rsid w:val="00076FBE"/>
    <w:rsid w:val="00093DED"/>
    <w:rsid w:val="00095D0D"/>
    <w:rsid w:val="000A3BF2"/>
    <w:rsid w:val="000C0F85"/>
    <w:rsid w:val="000C52D1"/>
    <w:rsid w:val="000E6697"/>
    <w:rsid w:val="000F5C25"/>
    <w:rsid w:val="001004BB"/>
    <w:rsid w:val="0014575D"/>
    <w:rsid w:val="00145D8D"/>
    <w:rsid w:val="00147356"/>
    <w:rsid w:val="00153EF5"/>
    <w:rsid w:val="00170139"/>
    <w:rsid w:val="00170E27"/>
    <w:rsid w:val="00172BA9"/>
    <w:rsid w:val="001A734F"/>
    <w:rsid w:val="001D54EE"/>
    <w:rsid w:val="001E15D4"/>
    <w:rsid w:val="001F0340"/>
    <w:rsid w:val="001F3F1F"/>
    <w:rsid w:val="00203B20"/>
    <w:rsid w:val="0020753B"/>
    <w:rsid w:val="00211723"/>
    <w:rsid w:val="00216CBD"/>
    <w:rsid w:val="002437A4"/>
    <w:rsid w:val="00283218"/>
    <w:rsid w:val="00290DB0"/>
    <w:rsid w:val="002E36C6"/>
    <w:rsid w:val="0032085D"/>
    <w:rsid w:val="00355D64"/>
    <w:rsid w:val="00360903"/>
    <w:rsid w:val="0036668D"/>
    <w:rsid w:val="00380F19"/>
    <w:rsid w:val="003816DE"/>
    <w:rsid w:val="00387A4C"/>
    <w:rsid w:val="00391EFB"/>
    <w:rsid w:val="003B1E76"/>
    <w:rsid w:val="003D7466"/>
    <w:rsid w:val="003E0747"/>
    <w:rsid w:val="003E102F"/>
    <w:rsid w:val="003F0DA7"/>
    <w:rsid w:val="003F19D3"/>
    <w:rsid w:val="0044331C"/>
    <w:rsid w:val="004839A9"/>
    <w:rsid w:val="00491E13"/>
    <w:rsid w:val="004B7B7D"/>
    <w:rsid w:val="004D15EB"/>
    <w:rsid w:val="004F0FAC"/>
    <w:rsid w:val="00545D98"/>
    <w:rsid w:val="00546EA3"/>
    <w:rsid w:val="00557D27"/>
    <w:rsid w:val="00580829"/>
    <w:rsid w:val="00585DDF"/>
    <w:rsid w:val="005A6808"/>
    <w:rsid w:val="005B280E"/>
    <w:rsid w:val="005B6630"/>
    <w:rsid w:val="005C01F2"/>
    <w:rsid w:val="006053BB"/>
    <w:rsid w:val="00614A09"/>
    <w:rsid w:val="00624DC6"/>
    <w:rsid w:val="00690F34"/>
    <w:rsid w:val="00691A1A"/>
    <w:rsid w:val="006B43B4"/>
    <w:rsid w:val="006D78BB"/>
    <w:rsid w:val="006E7616"/>
    <w:rsid w:val="00705A79"/>
    <w:rsid w:val="00722E71"/>
    <w:rsid w:val="00723F5F"/>
    <w:rsid w:val="007251A8"/>
    <w:rsid w:val="0072521D"/>
    <w:rsid w:val="00756D72"/>
    <w:rsid w:val="00785DB4"/>
    <w:rsid w:val="007B04C1"/>
    <w:rsid w:val="007B524F"/>
    <w:rsid w:val="007C0E3A"/>
    <w:rsid w:val="007C6A3B"/>
    <w:rsid w:val="00806894"/>
    <w:rsid w:val="00813F79"/>
    <w:rsid w:val="008A42E1"/>
    <w:rsid w:val="008A55C2"/>
    <w:rsid w:val="008D1708"/>
    <w:rsid w:val="00903BF8"/>
    <w:rsid w:val="0090494A"/>
    <w:rsid w:val="00920DDD"/>
    <w:rsid w:val="00931949"/>
    <w:rsid w:val="00954A8C"/>
    <w:rsid w:val="0096245E"/>
    <w:rsid w:val="009655BD"/>
    <w:rsid w:val="009677E6"/>
    <w:rsid w:val="009A52F2"/>
    <w:rsid w:val="009B4E52"/>
    <w:rsid w:val="009C2171"/>
    <w:rsid w:val="009C6CAF"/>
    <w:rsid w:val="009E1706"/>
    <w:rsid w:val="009E6DF4"/>
    <w:rsid w:val="00A047D9"/>
    <w:rsid w:val="00A111FB"/>
    <w:rsid w:val="00A301D8"/>
    <w:rsid w:val="00A360AF"/>
    <w:rsid w:val="00A75D8C"/>
    <w:rsid w:val="00A775AF"/>
    <w:rsid w:val="00A84FDB"/>
    <w:rsid w:val="00A972F4"/>
    <w:rsid w:val="00AA4A7E"/>
    <w:rsid w:val="00AC219F"/>
    <w:rsid w:val="00AC29B9"/>
    <w:rsid w:val="00AD0CCE"/>
    <w:rsid w:val="00AD3C2D"/>
    <w:rsid w:val="00AD6974"/>
    <w:rsid w:val="00AE5925"/>
    <w:rsid w:val="00AF31F0"/>
    <w:rsid w:val="00B00657"/>
    <w:rsid w:val="00B10B4B"/>
    <w:rsid w:val="00B1131A"/>
    <w:rsid w:val="00B22A18"/>
    <w:rsid w:val="00B24090"/>
    <w:rsid w:val="00B36713"/>
    <w:rsid w:val="00B50DC2"/>
    <w:rsid w:val="00B534B4"/>
    <w:rsid w:val="00B60390"/>
    <w:rsid w:val="00BA724D"/>
    <w:rsid w:val="00BE2663"/>
    <w:rsid w:val="00BF0BCD"/>
    <w:rsid w:val="00C02158"/>
    <w:rsid w:val="00C05772"/>
    <w:rsid w:val="00C356C2"/>
    <w:rsid w:val="00C6510B"/>
    <w:rsid w:val="00C74DC7"/>
    <w:rsid w:val="00C807A0"/>
    <w:rsid w:val="00C81A87"/>
    <w:rsid w:val="00C84846"/>
    <w:rsid w:val="00C86592"/>
    <w:rsid w:val="00CE0AFF"/>
    <w:rsid w:val="00CE1163"/>
    <w:rsid w:val="00CF4D12"/>
    <w:rsid w:val="00D11615"/>
    <w:rsid w:val="00D32D8F"/>
    <w:rsid w:val="00D55AA2"/>
    <w:rsid w:val="00D65FC1"/>
    <w:rsid w:val="00D67C47"/>
    <w:rsid w:val="00DB36AC"/>
    <w:rsid w:val="00DC6A6C"/>
    <w:rsid w:val="00DD23E1"/>
    <w:rsid w:val="00DE00E6"/>
    <w:rsid w:val="00E00583"/>
    <w:rsid w:val="00E11B64"/>
    <w:rsid w:val="00E17AE1"/>
    <w:rsid w:val="00E21E09"/>
    <w:rsid w:val="00E2436F"/>
    <w:rsid w:val="00E62486"/>
    <w:rsid w:val="00E85C35"/>
    <w:rsid w:val="00E91B5D"/>
    <w:rsid w:val="00E91C26"/>
    <w:rsid w:val="00EB79F6"/>
    <w:rsid w:val="00EC1CE1"/>
    <w:rsid w:val="00F203EF"/>
    <w:rsid w:val="00F7132F"/>
    <w:rsid w:val="00F904ED"/>
    <w:rsid w:val="00F9405A"/>
    <w:rsid w:val="00FA2223"/>
    <w:rsid w:val="00FB4FF3"/>
    <w:rsid w:val="00FC4412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BCE0EED-9BA6-4B9E-96AE-85AA5959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B1E76"/>
    <w:pPr>
      <w:widowControl w:val="0"/>
      <w:spacing w:after="0" w:line="240" w:lineRule="auto"/>
      <w:ind w:left="2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B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663"/>
  </w:style>
  <w:style w:type="paragraph" w:styleId="Footer">
    <w:name w:val="footer"/>
    <w:basedOn w:val="Normal"/>
    <w:link w:val="FooterChar"/>
    <w:uiPriority w:val="99"/>
    <w:unhideWhenUsed/>
    <w:rsid w:val="00BE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663"/>
  </w:style>
  <w:style w:type="character" w:styleId="CommentReference">
    <w:name w:val="annotation reference"/>
    <w:basedOn w:val="DefaultParagraphFont"/>
    <w:uiPriority w:val="99"/>
    <w:semiHidden/>
    <w:unhideWhenUsed/>
    <w:rsid w:val="00557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D2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B1E76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B1E76"/>
    <w:pPr>
      <w:widowControl w:val="0"/>
      <w:spacing w:after="0" w:line="240" w:lineRule="auto"/>
      <w:ind w:left="166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1E76"/>
    <w:rPr>
      <w:rFonts w:ascii="Arial" w:eastAsia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B1E76"/>
    <w:pPr>
      <w:widowControl w:val="0"/>
      <w:spacing w:after="0" w:line="240" w:lineRule="auto"/>
    </w:pPr>
  </w:style>
  <w:style w:type="paragraph" w:customStyle="1" w:styleId="Default">
    <w:name w:val="Default"/>
    <w:rsid w:val="003B1E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7A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65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nas.org/cgi/doi/10.1073/pnas.17153741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mje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5B41-B370-4E12-9F42-B759F28A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Health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Doud</dc:creator>
  <cp:lastModifiedBy>Wess, Yolanda (wessyy)</cp:lastModifiedBy>
  <cp:revision>2</cp:revision>
  <cp:lastPrinted>2012-11-30T17:26:00Z</cp:lastPrinted>
  <dcterms:created xsi:type="dcterms:W3CDTF">2018-05-16T15:20:00Z</dcterms:created>
  <dcterms:modified xsi:type="dcterms:W3CDTF">2018-05-16T15:20:00Z</dcterms:modified>
</cp:coreProperties>
</file>